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28" w:rsidRDefault="00E87A0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28" w:rsidRPr="00E87A0E" w:rsidRDefault="00E87A0E">
      <w:pPr>
        <w:spacing w:after="0"/>
        <w:rPr>
          <w:lang w:val="ru-RU"/>
        </w:rPr>
      </w:pPr>
      <w:r w:rsidRPr="00E87A0E">
        <w:rPr>
          <w:b/>
          <w:color w:val="000000"/>
          <w:sz w:val="28"/>
          <w:lang w:val="ru-RU"/>
        </w:rPr>
        <w:t>"Об утверждении стандартов питания в организациях здравоохранения и образования"</w:t>
      </w:r>
    </w:p>
    <w:p w:rsidR="003A4428" w:rsidRPr="00E87A0E" w:rsidRDefault="00E87A0E">
      <w:pPr>
        <w:spacing w:after="0"/>
        <w:jc w:val="both"/>
        <w:rPr>
          <w:lang w:val="ru-RU"/>
        </w:rPr>
      </w:pPr>
      <w:r w:rsidRPr="00E87A0E">
        <w:rPr>
          <w:color w:val="000000"/>
          <w:sz w:val="28"/>
          <w:lang w:val="ru-RU"/>
        </w:rPr>
        <w:t>Приказ Министра здравоохранения Республики Казахстан от 21 декабря 2020 года № Қ</w:t>
      </w:r>
      <w:proofErr w:type="gramStart"/>
      <w:r w:rsidRPr="00E87A0E">
        <w:rPr>
          <w:color w:val="000000"/>
          <w:sz w:val="28"/>
          <w:lang w:val="ru-RU"/>
        </w:rPr>
        <w:t>Р</w:t>
      </w:r>
      <w:proofErr w:type="gramEnd"/>
      <w:r w:rsidRPr="00E87A0E">
        <w:rPr>
          <w:color w:val="000000"/>
          <w:sz w:val="28"/>
          <w:lang w:val="ru-RU"/>
        </w:rPr>
        <w:t xml:space="preserve"> ДСМ-302/2020. Зарегистрирован в Министерстве юстиции Республики Казахстан 22 декабря 2020 года № 21857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0" w:name="z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В соответствии с подпунктом 103) статьи 7 Кодекса Республики Казахстан от 7 июля 2020 года "О здоровье народа и системе здравоохранения" ПРИКАЗЫВАЮ: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" w:name="z5"/>
      <w:bookmarkEnd w:id="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1. Утвердить прилагаемые стандарты питания в организациях здравоохранения и образования.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E87A0E">
        <w:rPr>
          <w:color w:val="000000"/>
          <w:sz w:val="28"/>
          <w:lang w:val="ru-RU"/>
        </w:rPr>
        <w:t>на</w:t>
      </w:r>
      <w:proofErr w:type="gramEnd"/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курирующего</w:t>
      </w:r>
      <w:proofErr w:type="gramEnd"/>
      <w:r w:rsidRPr="00E87A0E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410"/>
        <w:gridCol w:w="3367"/>
      </w:tblGrid>
      <w:tr w:rsidR="003A442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A4428" w:rsidRDefault="00E87A0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87A0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428" w:rsidRDefault="00E87A0E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3A4428" w:rsidRPr="00E87A0E" w:rsidRDefault="00E87A0E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"СОГЛАСОВАН"</w:t>
      </w:r>
      <w:r w:rsidRPr="00E87A0E">
        <w:rPr>
          <w:lang w:val="ru-RU"/>
        </w:rPr>
        <w:br/>
      </w:r>
      <w:r w:rsidRPr="00E87A0E">
        <w:rPr>
          <w:color w:val="000000"/>
          <w:sz w:val="28"/>
          <w:lang w:val="ru-RU"/>
        </w:rPr>
        <w:t>Министерство образования и науки</w:t>
      </w:r>
      <w:r w:rsidRPr="00E87A0E">
        <w:rPr>
          <w:lang w:val="ru-RU"/>
        </w:rPr>
        <w:br/>
      </w:r>
      <w:r w:rsidRPr="00E87A0E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3A4428" w:rsidRPr="00E065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A4428" w:rsidRPr="00E87A0E" w:rsidRDefault="00E87A0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428" w:rsidRPr="00E87A0E" w:rsidRDefault="00E87A0E">
            <w:pPr>
              <w:spacing w:after="0"/>
              <w:jc w:val="center"/>
              <w:rPr>
                <w:lang w:val="ru-RU"/>
              </w:rPr>
            </w:pPr>
            <w:r w:rsidRPr="00E87A0E">
              <w:rPr>
                <w:color w:val="000000"/>
                <w:sz w:val="20"/>
                <w:lang w:val="ru-RU"/>
              </w:rPr>
              <w:t>Утвержден приказом</w:t>
            </w:r>
            <w:r w:rsidRPr="00E87A0E">
              <w:rPr>
                <w:lang w:val="ru-RU"/>
              </w:rPr>
              <w:br/>
            </w:r>
            <w:r w:rsidRPr="00E87A0E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E87A0E">
              <w:rPr>
                <w:lang w:val="ru-RU"/>
              </w:rPr>
              <w:br/>
            </w:r>
            <w:r w:rsidRPr="00E87A0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87A0E">
              <w:rPr>
                <w:lang w:val="ru-RU"/>
              </w:rPr>
              <w:br/>
            </w:r>
            <w:r w:rsidRPr="00E87A0E">
              <w:rPr>
                <w:color w:val="000000"/>
                <w:sz w:val="20"/>
                <w:lang w:val="ru-RU"/>
              </w:rPr>
              <w:t>от 21 декабря 2020 года № Қ</w:t>
            </w:r>
            <w:proofErr w:type="gramStart"/>
            <w:r w:rsidRPr="00E87A0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87A0E">
              <w:rPr>
                <w:color w:val="000000"/>
                <w:sz w:val="20"/>
                <w:lang w:val="ru-RU"/>
              </w:rPr>
              <w:t xml:space="preserve"> ДСМ-302/2020</w:t>
            </w:r>
          </w:p>
        </w:tc>
      </w:tr>
    </w:tbl>
    <w:p w:rsidR="003A4428" w:rsidRPr="00E87A0E" w:rsidRDefault="00E87A0E">
      <w:pPr>
        <w:spacing w:after="0"/>
        <w:rPr>
          <w:lang w:val="ru-RU"/>
        </w:rPr>
      </w:pPr>
      <w:bookmarkStart w:id="9" w:name="z15"/>
      <w:r w:rsidRPr="00E87A0E">
        <w:rPr>
          <w:b/>
          <w:color w:val="000000"/>
          <w:lang w:val="ru-RU"/>
        </w:rPr>
        <w:t xml:space="preserve"> Стандарты питания в организациях здравоохранения и образования</w:t>
      </w:r>
    </w:p>
    <w:p w:rsidR="003A4428" w:rsidRPr="00E87A0E" w:rsidRDefault="00E87A0E">
      <w:pPr>
        <w:spacing w:after="0"/>
        <w:rPr>
          <w:lang w:val="ru-RU"/>
        </w:rPr>
      </w:pPr>
      <w:bookmarkStart w:id="10" w:name="z16"/>
      <w:bookmarkEnd w:id="9"/>
      <w:r w:rsidRPr="00E87A0E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" w:name="z17"/>
      <w:bookmarkEnd w:id="1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1. </w:t>
      </w:r>
      <w:proofErr w:type="gramStart"/>
      <w:r w:rsidRPr="00E87A0E">
        <w:rPr>
          <w:color w:val="000000"/>
          <w:sz w:val="28"/>
          <w:lang w:val="ru-RU"/>
        </w:rPr>
        <w:t>Настоящие Стандарты питания в организациях здравоохранения и образования (далее – Стандарты) разработаны в соответствии с подпунктом 103) 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2. Термины и определения, используемые в настоящих Стандартах: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6) организация здравоохранения – юридическое лицо, осуществляющее деятельность в области здравоохранения;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  <w:proofErr w:type="gramEnd"/>
    </w:p>
    <w:p w:rsidR="003A4428" w:rsidRPr="00E87A0E" w:rsidRDefault="00E87A0E">
      <w:pPr>
        <w:spacing w:after="0"/>
        <w:rPr>
          <w:lang w:val="ru-RU"/>
        </w:rPr>
      </w:pPr>
      <w:bookmarkStart w:id="22" w:name="z28"/>
      <w:bookmarkEnd w:id="21"/>
      <w:r w:rsidRPr="00E87A0E">
        <w:rPr>
          <w:b/>
          <w:color w:val="000000"/>
          <w:lang w:val="ru-RU"/>
        </w:rPr>
        <w:t xml:space="preserve"> Глава 2. Порядок организации питания в организациях образования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3" w:name="z29"/>
      <w:bookmarkEnd w:id="2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3. Общие принципы организации питания в организациях образования включают следующее: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соответствие энергетической ценности питания детей энергетическим затратам;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соответствие химического состава пищи физиологическим потребностям организма;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максимальное разнообразие рациона, являющееся основным условием обеспечения его сбалансированности;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оптимальный режим питания;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5) правильное приготовление пищи, обеспечивающее их высокие вкусовые достоинства и сохранность исходной пищевой ценности;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6) учет индивидуальных особенностей детей;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1" w:name="z37"/>
      <w:bookmarkEnd w:id="3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2" w:name="z38"/>
      <w:bookmarkEnd w:id="3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5. Нормы питания детей в организациях образования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</w:t>
      </w:r>
      <w:proofErr w:type="gramStart"/>
      <w:r w:rsidRPr="00E87A0E">
        <w:rPr>
          <w:color w:val="000000"/>
          <w:sz w:val="28"/>
          <w:lang w:val="ru-RU"/>
        </w:rPr>
        <w:t xml:space="preserve"> – %), </w:t>
      </w:r>
      <w:proofErr w:type="gramEnd"/>
      <w:r w:rsidRPr="00E87A0E">
        <w:rPr>
          <w:color w:val="000000"/>
          <w:sz w:val="28"/>
          <w:lang w:val="ru-RU"/>
        </w:rPr>
        <w:t>но в полном соответствии с недельной нормой.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5" w:name="z41"/>
      <w:bookmarkEnd w:id="3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11. При разработке меню учитываются: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продолжительность пребывания детей в организациях образования;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возрастная категория;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физические нагрузки детей.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12. С учетом возраста детей в меню соблюдаются требования: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по массе порций блюд;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их пищевой и энергетической ценности;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суточной потребности в основных витаминах и микроэлементах.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6" w:name="z52"/>
      <w:bookmarkEnd w:id="4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13. Меню содержит следующую информацию: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о количественном составе блюд;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энергетической и пищевой ценности, включая содержание витаминов и минеральных веществ в каждом блюде.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9" w:name="z55"/>
      <w:bookmarkEnd w:id="4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14. В меню не допускается повторение одних и тех же блюд или кулинарных изделий в один и тот же день или </w:t>
      </w:r>
      <w:proofErr w:type="gramStart"/>
      <w:r w:rsidRPr="00E87A0E">
        <w:rPr>
          <w:color w:val="000000"/>
          <w:sz w:val="28"/>
          <w:lang w:val="ru-RU"/>
        </w:rPr>
        <w:t>в</w:t>
      </w:r>
      <w:proofErr w:type="gramEnd"/>
      <w:r w:rsidRPr="00E87A0E">
        <w:rPr>
          <w:color w:val="000000"/>
          <w:sz w:val="28"/>
          <w:lang w:val="ru-RU"/>
        </w:rPr>
        <w:t xml:space="preserve"> последующие 2 – 3 дня.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17. </w:t>
      </w:r>
      <w:proofErr w:type="gramStart"/>
      <w:r w:rsidRPr="00E87A0E">
        <w:rPr>
          <w:color w:val="000000"/>
          <w:sz w:val="28"/>
          <w:lang w:val="ru-RU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</w:t>
      </w:r>
      <w:proofErr w:type="gramEnd"/>
      <w:r w:rsidRPr="00E87A0E">
        <w:rPr>
          <w:color w:val="000000"/>
          <w:sz w:val="28"/>
          <w:lang w:val="ru-RU"/>
        </w:rPr>
        <w:t xml:space="preserve">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3" w:name="z59"/>
      <w:bookmarkEnd w:id="5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4" w:name="z60"/>
      <w:bookmarkEnd w:id="5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19. </w:t>
      </w:r>
      <w:proofErr w:type="gramStart"/>
      <w:r w:rsidRPr="00E87A0E">
        <w:rPr>
          <w:color w:val="000000"/>
          <w:sz w:val="28"/>
          <w:lang w:val="ru-RU"/>
        </w:rPr>
        <w:t>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</w:t>
      </w:r>
      <w:proofErr w:type="gramEnd"/>
      <w:r w:rsidRPr="00E87A0E">
        <w:rPr>
          <w:color w:val="000000"/>
          <w:sz w:val="28"/>
          <w:lang w:val="ru-RU"/>
        </w:rPr>
        <w:t xml:space="preserve"> Остальные продукты (творог, сметана, птица, сыр, яйцо, соки и др.) включаются 2 – 3 раза в неделю.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6" w:name="z62"/>
      <w:bookmarkEnd w:id="5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 норм питания и меню.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7" w:name="z63"/>
      <w:bookmarkEnd w:id="5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9" w:name="z65"/>
      <w:bookmarkEnd w:id="5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24. </w:t>
      </w:r>
      <w:proofErr w:type="gramStart"/>
      <w:r w:rsidRPr="00E87A0E">
        <w:rPr>
          <w:color w:val="000000"/>
          <w:sz w:val="28"/>
          <w:lang w:val="ru-RU"/>
        </w:rPr>
        <w:t>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 Единым перечнем товаров,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 регламентами в области безопасности пищевой</w:t>
      </w:r>
      <w:proofErr w:type="gramEnd"/>
      <w:r w:rsidRPr="00E87A0E">
        <w:rPr>
          <w:color w:val="000000"/>
          <w:sz w:val="28"/>
          <w:lang w:val="ru-RU"/>
        </w:rPr>
        <w:t xml:space="preserve"> продукции.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0" w:name="z66"/>
      <w:bookmarkEnd w:id="5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25. Поступающая пищевая продукция сопровождается документами, удостоверяющими их безопасность в соответствии с Законом 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26. </w:t>
      </w:r>
      <w:proofErr w:type="gramStart"/>
      <w:r w:rsidRPr="00E87A0E">
        <w:rPr>
          <w:color w:val="000000"/>
          <w:sz w:val="28"/>
          <w:lang w:val="ru-RU"/>
        </w:rPr>
        <w:t>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 организма (далее – ГМО).</w:t>
      </w:r>
    </w:p>
    <w:p w:rsidR="003A4428" w:rsidRDefault="00E87A0E">
      <w:pPr>
        <w:spacing w:after="0"/>
        <w:jc w:val="both"/>
      </w:pPr>
      <w:bookmarkStart w:id="63" w:name="z69"/>
      <w:bookmarkEnd w:id="6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</w:t>
      </w:r>
      <w:r>
        <w:rPr>
          <w:color w:val="000000"/>
          <w:sz w:val="28"/>
        </w:rPr>
        <w:t>10 к техническому регламенту Таможенного союза "О безопасности пищевой продукции" (</w:t>
      </w:r>
      <w:proofErr w:type="gramStart"/>
      <w:r>
        <w:rPr>
          <w:color w:val="000000"/>
          <w:sz w:val="28"/>
        </w:rPr>
        <w:t>ТР</w:t>
      </w:r>
      <w:proofErr w:type="gramEnd"/>
      <w:r>
        <w:rPr>
          <w:color w:val="000000"/>
          <w:sz w:val="28"/>
        </w:rPr>
        <w:t xml:space="preserve"> ТС 021/2011).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 xml:space="preserve">       </w:t>
      </w:r>
      <w:r w:rsidRPr="00E87A0E">
        <w:rPr>
          <w:color w:val="000000"/>
          <w:sz w:val="28"/>
          <w:lang w:val="ru-RU"/>
        </w:rPr>
        <w:t xml:space="preserve">29. Пищевая продукция для детского питания отвечает следующим требованиям: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5" w:name="z71"/>
      <w:bookmarkEnd w:id="6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печенье для детского питания, не превышающее более 25 % добавленного сахара;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6" w:name="z72"/>
      <w:bookmarkEnd w:id="6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хлебобулочные изделия для детского питания, содержащие соли не более 0,5 %.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7" w:name="z73"/>
      <w:bookmarkEnd w:id="6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30. Пищевая продукция для детского питания не содержит: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8" w:name="z74"/>
      <w:bookmarkEnd w:id="6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этилового спирта более 0,2 %;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9" w:name="z75"/>
      <w:bookmarkEnd w:id="6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кофе натурального;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0" w:name="z76"/>
      <w:bookmarkEnd w:id="6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ядер абрикосовой косточки;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1" w:name="z77"/>
      <w:bookmarkEnd w:id="7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уксуса;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2" w:name="z78"/>
      <w:bookmarkEnd w:id="7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4" w:name="z80"/>
      <w:bookmarkEnd w:id="7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5" w:name="z81"/>
      <w:bookmarkEnd w:id="7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продукты убоя продуктивных животных и птицы, подвергнутые повторному замораживанию;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6" w:name="z82"/>
      <w:bookmarkEnd w:id="7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сырье из рыбы и нерыбных объектов промысла, подвергнутое повторному замораживанию;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7" w:name="z83"/>
      <w:bookmarkEnd w:id="7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мясо продуктивных животных механической обвалки и мясо птицы механической обвалки;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8" w:name="z84"/>
      <w:bookmarkEnd w:id="7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коллагенсодержащее сырье из мяса птицы;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9" w:name="z85"/>
      <w:bookmarkEnd w:id="7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0" w:name="z86"/>
      <w:bookmarkEnd w:id="7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6) говядина жилованная с массовой долей соединительной и жировой ткани свыше 20 %;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1" w:name="z87"/>
      <w:bookmarkEnd w:id="8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7) свинина жилованная с массовой долей жировой ткани свыше 70 %;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2" w:name="z88"/>
      <w:bookmarkEnd w:id="8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8) баранина жилованная с массовой долей жировой ткани свыше 9 %;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3" w:name="z89"/>
      <w:bookmarkEnd w:id="8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9) мясо быков, хряков и тощих животных;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4" w:name="z90"/>
      <w:bookmarkEnd w:id="8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10) субпродукты продуктивных животных и птицы, за исключением печени, языка, сердца и крови;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5" w:name="z91"/>
      <w:bookmarkEnd w:id="8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11) яйца и мясо водоплавающих птиц;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6" w:name="z92"/>
      <w:bookmarkEnd w:id="8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12) соки концентрированные диффузионные;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7" w:name="z93"/>
      <w:bookmarkEnd w:id="8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13) растительные масла с перекисным числом более 2 ммоль активного кислорода/килограмм (далее – </w:t>
      </w:r>
      <w:proofErr w:type="gramStart"/>
      <w:r w:rsidRPr="00E87A0E">
        <w:rPr>
          <w:color w:val="000000"/>
          <w:sz w:val="28"/>
          <w:lang w:val="ru-RU"/>
        </w:rPr>
        <w:t>кг</w:t>
      </w:r>
      <w:proofErr w:type="gramEnd"/>
      <w:r w:rsidRPr="00E87A0E">
        <w:rPr>
          <w:color w:val="000000"/>
          <w:sz w:val="28"/>
          <w:lang w:val="ru-RU"/>
        </w:rPr>
        <w:t xml:space="preserve">) жира (за исключением оливкового масла); оливковое масло с перекисным числом более 2 ммоль активного кислорода/кг жира;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8" w:name="z94"/>
      <w:bookmarkEnd w:id="8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14) растительные масла: </w:t>
      </w:r>
      <w:proofErr w:type="gramStart"/>
      <w:r w:rsidRPr="00E87A0E">
        <w:rPr>
          <w:color w:val="000000"/>
          <w:sz w:val="28"/>
          <w:lang w:val="ru-RU"/>
        </w:rPr>
        <w:t>хлопковое</w:t>
      </w:r>
      <w:proofErr w:type="gramEnd"/>
      <w:r w:rsidRPr="00E87A0E">
        <w:rPr>
          <w:color w:val="000000"/>
          <w:sz w:val="28"/>
          <w:lang w:val="ru-RU"/>
        </w:rPr>
        <w:t xml:space="preserve">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9" w:name="z95"/>
      <w:bookmarkEnd w:id="8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15) гидрогенизированные масла и жиры;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16) жгучие специи (перец, хрен, горчица).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33. Питание в организациях образования организовывается в столовой, работающей на сырье или в буфете.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34. В организациях образования с числом учащихся более 100 человек предусматриваются столовые.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35. Столовые имеют набор оборудования и помещений в соответствии с требованиями действующих санитарных правил.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4" w:name="z100"/>
      <w:bookmarkEnd w:id="9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23 сентября 2011 года № 797.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6" w:name="z102"/>
      <w:bookmarkEnd w:id="9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7" w:name="z103"/>
      <w:bookmarkEnd w:id="9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39. Медицинский работник организации образования обеспечивает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соблюдением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</w:t>
      </w:r>
      <w:proofErr w:type="gramStart"/>
      <w:r w:rsidRPr="00E87A0E">
        <w:rPr>
          <w:color w:val="000000"/>
          <w:sz w:val="28"/>
          <w:lang w:val="ru-RU"/>
        </w:rPr>
        <w:t xml:space="preserve">Работники, имеющие порезы, ссадины, ожоги, фурункулы, нагноения, не допускаются к работе. 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98" w:name="z104"/>
      <w:bookmarkEnd w:id="9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40. Повар обеспечивает соблюдение условий хранения 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p w:rsidR="003A4428" w:rsidRPr="00E87A0E" w:rsidRDefault="00E87A0E">
      <w:pPr>
        <w:spacing w:after="0"/>
        <w:rPr>
          <w:lang w:val="ru-RU"/>
        </w:rPr>
      </w:pPr>
      <w:bookmarkStart w:id="99" w:name="z105"/>
      <w:bookmarkEnd w:id="98"/>
      <w:r w:rsidRPr="00E87A0E">
        <w:rPr>
          <w:b/>
          <w:color w:val="000000"/>
          <w:lang w:val="ru-RU"/>
        </w:rPr>
        <w:t xml:space="preserve"> Глава 3. Порядок организации питания в организациях здравоохранения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качеством пищи и организацию обслуживания больных;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вопросов руководства лечебным питанием и подготовки кадров;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5" w:name="z111"/>
      <w:bookmarkEnd w:id="10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</w:t>
      </w:r>
      <w:proofErr w:type="gramStart"/>
      <w:r w:rsidRPr="00E87A0E">
        <w:rPr>
          <w:color w:val="000000"/>
          <w:sz w:val="28"/>
          <w:lang w:val="ru-RU"/>
        </w:rPr>
        <w:t xml:space="preserve">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 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44. Назначение диеты больному производится в индивидуальном порядке в соответствии с конкретными задачами комплексного лечения.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9" w:name="z115"/>
      <w:bookmarkEnd w:id="10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0" w:name="z116"/>
      <w:bookmarkEnd w:id="10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47. Меню-раскладка составляется согласно сводному семидневному меню </w:t>
      </w:r>
      <w:r>
        <w:rPr>
          <w:color w:val="000000"/>
          <w:sz w:val="28"/>
        </w:rPr>
        <w:t xml:space="preserve">(осенне-летнее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</w:t>
      </w:r>
      <w:proofErr w:type="gramStart"/>
      <w:r>
        <w:rPr>
          <w:color w:val="000000"/>
          <w:sz w:val="28"/>
        </w:rPr>
        <w:t>заведующим производства</w:t>
      </w:r>
      <w:proofErr w:type="gramEnd"/>
      <w:r>
        <w:rPr>
          <w:color w:val="000000"/>
          <w:sz w:val="28"/>
        </w:rPr>
        <w:t xml:space="preserve"> (шеф-поваром). </w:t>
      </w:r>
      <w:r w:rsidRPr="00E87A0E">
        <w:rPr>
          <w:color w:val="000000"/>
          <w:sz w:val="28"/>
          <w:lang w:val="ru-RU"/>
        </w:rPr>
        <w:t xml:space="preserve">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48. На основании итоговых данных выписывается требование на выдачу продуктов питания со склада (кладовой).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49. В назначенную диету вносятся некоторые поправки в зависимости от индивидуальности больного и характера течения патологического процесса. </w:t>
      </w:r>
      <w:proofErr w:type="gramStart"/>
      <w:r w:rsidRPr="00E87A0E">
        <w:rPr>
          <w:color w:val="000000"/>
          <w:sz w:val="28"/>
          <w:lang w:val="ru-RU"/>
        </w:rPr>
        <w:t>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13" w:name="z119"/>
      <w:bookmarkEnd w:id="11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</w:t>
      </w:r>
      <w:r>
        <w:rPr>
          <w:color w:val="000000"/>
          <w:sz w:val="28"/>
        </w:rPr>
        <w:t> </w:t>
      </w:r>
      <w:r w:rsidRPr="00E87A0E">
        <w:rPr>
          <w:color w:val="000000"/>
          <w:sz w:val="28"/>
          <w:lang w:val="ru-RU"/>
        </w:rPr>
        <w:t>приложении 3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</w:r>
      <w:proofErr w:type="gramStart"/>
      <w:r w:rsidRPr="00E87A0E">
        <w:rPr>
          <w:color w:val="000000"/>
          <w:sz w:val="28"/>
          <w:lang w:val="ru-RU"/>
        </w:rPr>
        <w:t>ТР</w:t>
      </w:r>
      <w:proofErr w:type="gramEnd"/>
      <w:r w:rsidRPr="00E87A0E">
        <w:rPr>
          <w:color w:val="000000"/>
          <w:sz w:val="28"/>
          <w:lang w:val="ru-RU"/>
        </w:rPr>
        <w:t xml:space="preserve"> ТС 027/2012).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</w:t>
      </w:r>
      <w:proofErr w:type="gramStart"/>
      <w:r w:rsidRPr="00E87A0E">
        <w:rPr>
          <w:color w:val="000000"/>
          <w:sz w:val="28"/>
          <w:lang w:val="ru-RU"/>
        </w:rPr>
        <w:t>пяти-шестиразового</w:t>
      </w:r>
      <w:proofErr w:type="gramEnd"/>
      <w:r w:rsidRPr="00E87A0E">
        <w:rPr>
          <w:color w:val="000000"/>
          <w:sz w:val="28"/>
          <w:lang w:val="ru-RU"/>
        </w:rPr>
        <w:t xml:space="preserve"> питания).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6" w:name="z122"/>
      <w:bookmarkEnd w:id="11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53. Время питания больных определяется количеством приемов пищи и общим распорядком дня в организациях здравоохранения.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8" w:name="z124"/>
      <w:bookmarkEnd w:id="11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9" w:name="z125"/>
      <w:bookmarkEnd w:id="11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1" w:name="z127"/>
      <w:bookmarkEnd w:id="12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2" w:name="z128"/>
      <w:bookmarkEnd w:id="12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</w:t>
      </w:r>
      <w:r>
        <w:rPr>
          <w:color w:val="000000"/>
          <w:sz w:val="28"/>
        </w:rPr>
        <w:t xml:space="preserve">(далее – Совет), который разрабатывает мероприятия по основным вопросам организации лечебного питания. </w:t>
      </w:r>
      <w:r w:rsidRPr="00E87A0E">
        <w:rPr>
          <w:color w:val="000000"/>
          <w:sz w:val="28"/>
          <w:lang w:val="ru-RU"/>
        </w:rPr>
        <w:t xml:space="preserve">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60. В задачи Совета входит совершенствование лечебного питания,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5" w:name="z131"/>
      <w:bookmarkEnd w:id="12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63. Заведование больничной кухней возлагается на диетическую сестру, работающую под медицинским руководством врача. </w:t>
      </w:r>
      <w:proofErr w:type="gramStart"/>
      <w:r w:rsidRPr="00E87A0E">
        <w:rPr>
          <w:color w:val="000000"/>
          <w:sz w:val="28"/>
          <w:lang w:val="ru-RU"/>
        </w:rPr>
        <w:t>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</w:t>
      </w:r>
      <w:proofErr w:type="gramEnd"/>
      <w:r w:rsidRPr="00E87A0E">
        <w:rPr>
          <w:color w:val="000000"/>
          <w:sz w:val="28"/>
          <w:lang w:val="ru-RU"/>
        </w:rPr>
        <w:t xml:space="preserve"> медицинского осмотра.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7" w:name="z133"/>
      <w:bookmarkEnd w:id="12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64. Непосредственное приготовление пищи проводится под руководством старшего повара-бригадира.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8" w:name="z134"/>
      <w:bookmarkEnd w:id="12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9" w:name="z135"/>
      <w:bookmarkEnd w:id="12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</w:t>
      </w:r>
      <w:proofErr w:type="gramStart"/>
      <w:r w:rsidRPr="00E87A0E">
        <w:rPr>
          <w:color w:val="000000"/>
          <w:sz w:val="28"/>
          <w:lang w:val="ru-RU"/>
        </w:rPr>
        <w:t>заведующим производства</w:t>
      </w:r>
      <w:proofErr w:type="gramEnd"/>
      <w:r w:rsidRPr="00E87A0E">
        <w:rPr>
          <w:color w:val="000000"/>
          <w:sz w:val="28"/>
          <w:lang w:val="ru-RU"/>
        </w:rPr>
        <w:t xml:space="preserve"> (или шеф-поваром) вне зависимости от пробы, производимой дежурным врачом.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0" w:name="z136"/>
      <w:bookmarkEnd w:id="12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67. В план обучения производственного персонала кухни включаются занятия по санитарному минимуму.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2" w:name="z138"/>
      <w:bookmarkEnd w:id="13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69. Не допускается: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3" w:name="z139"/>
      <w:bookmarkEnd w:id="13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4" w:name="z140"/>
      <w:bookmarkEnd w:id="13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70. В пищеблоках организации здравоохранения строго соблюдаются: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требования по условиям и срокам хранения пищевых продуктов;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требования об обязательных профилактических и медицинских обследованиях работников пищеблока, раздаточных и буфетных.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71. При отсутствии централизованной доставки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bookmarkEnd w:id="140"/>
    <w:p w:rsidR="003A4428" w:rsidRPr="00E87A0E" w:rsidRDefault="00E87A0E">
      <w:pPr>
        <w:spacing w:after="0"/>
        <w:rPr>
          <w:lang w:val="ru-RU"/>
        </w:rPr>
      </w:pPr>
      <w:r w:rsidRPr="00E87A0E">
        <w:rPr>
          <w:lang w:val="ru-RU"/>
        </w:rPr>
        <w:br/>
      </w:r>
      <w:r w:rsidRPr="00E87A0E">
        <w:rPr>
          <w:lang w:val="ru-RU"/>
        </w:rPr>
        <w:br/>
      </w:r>
    </w:p>
    <w:p w:rsidR="003A4428" w:rsidRPr="00E87A0E" w:rsidRDefault="00E87A0E">
      <w:pPr>
        <w:pStyle w:val="disclaimer"/>
        <w:rPr>
          <w:lang w:val="ru-RU"/>
        </w:rPr>
      </w:pPr>
      <w:r w:rsidRPr="00E87A0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A4428" w:rsidRPr="00E87A0E" w:rsidSect="003A442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savePreviewPicture/>
  <w:compat/>
  <w:rsids>
    <w:rsidRoot w:val="003A4428"/>
    <w:rsid w:val="003A4428"/>
    <w:rsid w:val="00E065FA"/>
    <w:rsid w:val="00E87A0E"/>
    <w:rsid w:val="00E9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A442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A442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A4428"/>
    <w:pPr>
      <w:jc w:val="center"/>
    </w:pPr>
    <w:rPr>
      <w:sz w:val="18"/>
      <w:szCs w:val="18"/>
    </w:rPr>
  </w:style>
  <w:style w:type="paragraph" w:customStyle="1" w:styleId="DocDefaults">
    <w:name w:val="DocDefaults"/>
    <w:rsid w:val="003A4428"/>
  </w:style>
  <w:style w:type="paragraph" w:styleId="ae">
    <w:name w:val="Balloon Text"/>
    <w:basedOn w:val="a"/>
    <w:link w:val="af"/>
    <w:uiPriority w:val="99"/>
    <w:semiHidden/>
    <w:unhideWhenUsed/>
    <w:rsid w:val="00E8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A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4344</Words>
  <Characters>24763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 Жашибеков</dc:creator>
  <cp:lastModifiedBy>nzhashibekov</cp:lastModifiedBy>
  <cp:revision>2</cp:revision>
  <dcterms:created xsi:type="dcterms:W3CDTF">2021-01-12T05:16:00Z</dcterms:created>
  <dcterms:modified xsi:type="dcterms:W3CDTF">2021-01-12T05:16:00Z</dcterms:modified>
</cp:coreProperties>
</file>